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项目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0" w:name="_Toc_4_4_0000000278"/>
      <w:r>
        <w:rPr>
          <w:rFonts w:ascii="方正仿宋_GBK" w:hAnsi="方正仿宋_GBK" w:eastAsia="方正仿宋_GBK" w:cs="方正仿宋_GBK"/>
          <w:sz w:val="28"/>
        </w:rPr>
        <w:t>274.2025年一般债券利息绩效目标表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2025年一般债券利息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131.13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131.13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偿还本校一般债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1.到期偿还专项债利息，减低财务运行风险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贷款利息偿还时间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贷款利息偿还时间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2025年12.31前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131.13万元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债务数量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债务数量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符合合同规定标准，保证日常运行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符合合同规定标准，保证日常运行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及时偿还专项债利息，降低财务运行风险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学校财务运行平稳性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学校财务运行平稳性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降低学校财务运行风险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279"/>
      <w:r>
        <w:rPr>
          <w:rFonts w:ascii="方正仿宋_GBK" w:hAnsi="方正仿宋_GBK" w:eastAsia="方正仿宋_GBK" w:cs="方正仿宋_GBK"/>
          <w:sz w:val="28"/>
        </w:rPr>
        <w:t>275.各类学校校舍维修（2025年）绩效目标表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各类学校校舍维修（2025年）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48.89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48.89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维修校园基础设施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1.改善校园基础设施条件，有效消除校舍安全隐患，为学生提供安全的学习、生活环境，提高学校发展建设水平。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安全隐患维修面积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防水、墙体、道路等修缮面积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≥25000平方米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修缮工程完成时间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修缮工程完成时间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2025年12.31前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维修改造成本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维修改造成本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48.89万元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降低校园安全隐患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降低校园安全隐患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无安全隐患事件发生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维修后能源消耗降低率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维修后能源消耗降低率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学生对校园维修改造的满意度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学生对校园维修改造的满意度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280"/>
      <w:r>
        <w:rPr>
          <w:rFonts w:ascii="方正仿宋_GBK" w:hAnsi="方正仿宋_GBK" w:eastAsia="方正仿宋_GBK" w:cs="方正仿宋_GBK"/>
          <w:sz w:val="28"/>
        </w:rPr>
        <w:t>276.基本公共卫生服务-新划入项目-职业病防治（2025年）绩效目标表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基本公共卫生服务-新划入项目-职业病防治（2025年）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用于职业病防治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1.提升师生及后勤人员的职业健康素养，增强校园的职业健康管理水平，推动形成长期健康文化。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调查人数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调查人数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知识讲座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知识讲座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职业病防治完成时间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职业病防治完成时间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2025年12.31前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职业病防治资金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职业病防治资金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推动校园长期健康文化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推动校园长期健康文化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涵盖率达到100%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维护全校师生健康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维护全校师生健康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整体师生达到健康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学生对职业病防治培训的满意度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学生对职业病防治培训的满意度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教师对职业病防治培训的满意度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教师对职业病防治培训的满意度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281"/>
      <w:r>
        <w:rPr>
          <w:rFonts w:ascii="方正仿宋_GBK" w:hAnsi="方正仿宋_GBK" w:eastAsia="方正仿宋_GBK" w:cs="方正仿宋_GBK"/>
          <w:sz w:val="28"/>
        </w:rPr>
        <w:t>277.鲁班工坊建设项目绩效目标表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鲁班工坊建设项目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建成哈萨克斯坦鲁班工坊（国立欧亚大学）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1.建成哈萨克斯坦鲁班工坊（国立欧亚大学），为中哈经济社会发展培养急需技术人才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培训工坊师资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培训工坊师资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学生培养目标实现率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学生培养目标实现率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2025年9月底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培训资金成本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培训资金成本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学校国际化影响力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学校国际化影响力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学校国际化影响力较大提升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282"/>
      <w:r>
        <w:rPr>
          <w:rFonts w:ascii="方正仿宋_GBK" w:hAnsi="方正仿宋_GBK" w:eastAsia="方正仿宋_GBK" w:cs="方正仿宋_GBK"/>
          <w:sz w:val="28"/>
        </w:rPr>
        <w:t>278.鲁班工坊建设项目（2025年）绩效目标表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鲁班工坊建设项目（2025年）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建成哈萨克斯坦鲁班工坊（国立欧亚大学）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1.建成哈萨克斯坦鲁班工坊（国立欧亚大学），为中哈经济社会发展培养急需技术人才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培训工坊师资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培训工坊师资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2025年9月底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学生培养目标实现率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学生培养目标实现率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培训资金成本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培训资金成本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学校国际化影响力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学校国际化影响力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学校国际化影响力较大提升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283"/>
      <w:r>
        <w:rPr>
          <w:rFonts w:ascii="方正仿宋_GBK" w:hAnsi="方正仿宋_GBK" w:eastAsia="方正仿宋_GBK" w:cs="方正仿宋_GBK"/>
          <w:sz w:val="28"/>
        </w:rPr>
        <w:t>279.天津市高校教师党支部书记“赋能拔尖”培育计划绩效目标表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天津市高校教师党支部书记“赋能拔尖”培育计划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开展“双带头人”强国行行动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   通过开展“双带头人”强国行行动，增强党组织的影响力，促进基层党建工作与学校事业发展深度融合，切实发挥好“双带头人”教师党支部的示范引领作用。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开展党性及党员思想教育次数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开展党性及党员思想教育次数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开展培训次数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开展培训次数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“培育计划”完成时间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“培育计划”完成时间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2025年12.31前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党员建设培训等成本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党员建设培训等成本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强化基层党建工作质量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强化基层党建工作质量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“双带头人”教师党支部持续发挥作用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党组织影响力持续性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党组织影响力持续性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影响力得以持续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党员教师满意度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党员教师满意度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284"/>
      <w:r>
        <w:rPr>
          <w:rFonts w:ascii="方正仿宋_GBK" w:hAnsi="方正仿宋_GBK" w:eastAsia="方正仿宋_GBK" w:cs="方正仿宋_GBK"/>
          <w:sz w:val="28"/>
        </w:rPr>
        <w:t>280.天津市高校落实《科教兴市人才强市行动方案》考核引导资金绩效目标表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天津市高校落实《科教兴市人才强市行动方案》考核引导资金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用于科教兴市项目建设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1.6支参赛队伍参加天津市职业院校教师教学能力比赛；2支参赛队伍参加教育部职业院校教师教学能力比赛。</w:t>
            </w:r>
          </w:p>
          <w:p>
            <w:pPr>
              <w:pStyle w:val="12"/>
            </w:pPr>
            <w:r>
              <w:t>2.天津职业大学新质科创中心计划完成54间创新工作室建设，确保至少与20家以上企业建立稳定的合作关系，成功组建10个具有较强创新能力和发展潜力的科研团队，第一年促进至少20项技术创新或工艺改进项目落地，为教师搭建科技成果转化平台，提高科技成果转化成功率，实现产学研深度融合。</w:t>
            </w:r>
          </w:p>
          <w:p>
            <w:pPr>
              <w:pStyle w:val="12"/>
            </w:pPr>
            <w:r>
              <w:t>3.搭建社会培训服务中心与国家级高技能人才培训基地（即“一中心一基地”），实现学历教育与职业培训的无缝衔接与深度交融，打造具有广泛影响力的“天职”培训品牌。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合作企业数量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合作企业数量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科研人员数量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科研人员数量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组织会议论坛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组织会议论坛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组织会议论坛参训人数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组织会议论坛参训人数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教师教学能力比赛参赛队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教师教学能力比赛参赛队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教师教学能力提升率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教师教学能力提升率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科研成果合格率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科研成果合格率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高技能人才培训基地培训环境升级改造率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高技能人才培训基地培训环境升级改造率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完成培训楼空调、暖通及一楼大厅、外墙标识的升级改造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培训环境升级改造时限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培训环境升级改造时限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2025年5月31前完成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宣传手册及宣传片完成时限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宣传手册及宣传片完成时限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2025年6月15前完成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会议举办时限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会议举办时限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2025年6月30完成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组织会议论坛成本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组织会议论坛成本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环境提升改造成本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环境提升改造成本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课程资源建设成本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课程资源建设成本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科研成果转化申请专利数量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科研成果转化申请专利数量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社会知名度及影响力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社会知名度及影响力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媒体曝光和公众关注度持续升高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节能减排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节能减排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改造后培训楼更加节能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培养的高技能人才对行业贡献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培养的高技能人才对行业贡献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学员对培训内容和质量的满意度（%）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学员对培训内容和质量的满意度（%）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企业对培训效果的满意度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企业对培训效果的满意度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社会各界对基地整体服务的满意度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社会各界对基地整体服务的满意度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285"/>
      <w:r>
        <w:rPr>
          <w:rFonts w:ascii="方正仿宋_GBK" w:hAnsi="方正仿宋_GBK" w:eastAsia="方正仿宋_GBK" w:cs="方正仿宋_GBK"/>
          <w:sz w:val="28"/>
        </w:rPr>
        <w:t>281.天津职业大学信息资源中心（图书馆）-专项债券付息绩效目标表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天津职业大学信息资源中心（图书馆）-专项债券付息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233.10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233.10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偿还本校图书馆专项债利息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1.到期偿还专项债利息，减低财务运行风险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债务数量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债务数量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233.1万元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贷款利息偿还准时率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贷款利息偿还准时率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233.1万元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符合合同规定标准，保证日常运行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符合合同规定标准，保证日常运行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及时偿还专项债利息，降低财务运行风险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学校财务运行平稳性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学校财务运行平稳性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降低学校财务运行风险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286"/>
      <w:r>
        <w:rPr>
          <w:rFonts w:ascii="方正仿宋_GBK" w:hAnsi="方正仿宋_GBK" w:eastAsia="方正仿宋_GBK" w:cs="方正仿宋_GBK"/>
          <w:sz w:val="28"/>
        </w:rPr>
        <w:t>282.天津职业大学智能制造产教融合实训中心项目-专项债券付息绩效目标表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天津职业大学智能制造产教融合实训中心项目-专项债券付息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485.80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485.80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偿还本校专项债利息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1.到期偿还专项债利息，减低财务运行风险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债务数量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债务数量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485.8万元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贷款利息偿还准时率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贷款利息偿还准时率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485.8万元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符合合同规定标准，保证日常运行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符合合同规定标准，保证日常运行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及时偿还专项债利息，降低财务运行风险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学校财务运行平稳性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学校财务运行平稳性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降低学校财务运行风险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287"/>
      <w:r>
        <w:rPr>
          <w:rFonts w:ascii="方正仿宋_GBK" w:hAnsi="方正仿宋_GBK" w:eastAsia="方正仿宋_GBK" w:cs="方正仿宋_GBK"/>
          <w:sz w:val="28"/>
        </w:rPr>
        <w:t>283.现代职业教育质量提升计划资金-2025年中央专款绩效目标表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现代职业教育质量提升计划资金-2025年中央专款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1367.32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1367.32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用于现代职业教育提升项目建设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深化“三全育人”综合改革，扎实推进习近平新时代中国特色社会主义思想进教材、进课堂、进头脑，发挥教育部课程思政教学研究示范中心作用，持续建设天津市职业教育课程思政教学研究中心，推进思政课程与课程思政同向同行，健全五育并举育人体系。突出职教类型特色，推进工程化项目式复合型人才培养，提高人才培养与产业发展的契合度和适应性；以数字化赋能教学模式深度变革，促进数字技术与教育教学深度融合，智能化升级课程，开发数字教材，教育教学数字化水平整体提升；深化市域产教联合体和行业产教融合共同体内涵建设，推进校企深度对接，开发校企合作典型生产实践项目</w:t>
            </w:r>
          </w:p>
          <w:p>
            <w:pPr>
              <w:pStyle w:val="12"/>
            </w:pPr>
            <w:r>
              <w:t>2.推进“固定岗+流动岗”制度落实，优化教师队伍素质结构，积极组织教师参加培训，提升“双师”素质水平；发挥博士等高层次人才引领作用，不断提升教师技术服务水平。服务国家重大战略，持续推进国际交流与合作；以国家级高技能人才培训基地、开放型产教融合实践中心，拓展社会培训覆盖面。到2025年，学校综合实力继续稳居全国高职院校第一方阵，形成一批可复制、可借鉴、可推广的经验与模式，打造新时代职业教育创新发展标杆，形成具有天津特点、中国特色、世界水平的“天职”品牌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升级学分制教务管理系统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升级学分制教务管理系统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开发模块化课程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开发模块化课程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数字教材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数字教材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活页教材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活页教材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开发实训项目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开发实训项目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教师参加培训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教师参加培训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≥71人次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完成师资国培（人次）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完成师资国培（人次）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建设智能网汽车产教融合型实训基地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建设智能网汽车产教融合型实训基地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开展中国特色现代学徒制培养班级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开展中国特色现代学徒制培养班级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校企联合开发核心课程标准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校企联合开发核心课程标准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教学资源库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教学资源库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提升改造实验室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提升改造实验室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动画等课程资源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动画等课程资源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学生实习实训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学生实习实训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培养现场工程师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培养现场工程师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实用新型专利或发明专利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实用新型专利或发明专利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科技成果转化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科技成果转化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罗克韦尔先进控制技术应用中心建设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罗克韦尔先进控制技术应用中心建设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课程思政典型案例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课程思政典型案例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在线精品课程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在线精品课程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汽车领域“X”技能等级证书通过率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汽车领域“X”技能等级证书通过率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学生技能大赛获奖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学生技能大赛获奖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教师大赛获奖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教师大赛获奖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“1+X”证书平均通过率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“1+X”证书平均通过率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职业教育优质教材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职业教育优质教材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学生参加国家级技能大赛获奖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学生参加国家级技能大赛获奖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国家级高技能人才培训基地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国家级高技能人才培训基地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教师获省部级技能大赛三等奖及以上奖项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教师获省部级技能大赛三等奖及以上奖项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课程建设完成时间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课程建设完成时间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实训室建设完成时间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实训室建设完成时间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现代职业教育费用资金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现代职业教育费用资金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353.9万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资产购置资金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资产购置资金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1013.42万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≥1860人次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开展职业启蒙科普推广活动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开展职业启蒙科普推广活动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专业群服务产业能力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专业群服务产业能力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服务能力得以提升，达到全市领先水平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服务国家职业教育发展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服务国家职业教育发展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以教师素质提升赋能教师专业成长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毕业生雇主满意度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毕业生雇主满意度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合作企业满意度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合作企业满意度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培训对象（参训学员）满意度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培训对象（参训学员）满意度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288"/>
      <w:r>
        <w:rPr>
          <w:rFonts w:ascii="方正仿宋_GBK" w:hAnsi="方正仿宋_GBK" w:eastAsia="方正仿宋_GBK" w:cs="方正仿宋_GBK"/>
          <w:sz w:val="28"/>
        </w:rPr>
        <w:t>284.学生资助补助经费-中央专款绩效目标表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学生资助补助经费-中央专款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717.23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717.23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财政拨款用于国家奖助学金发放、征兵学费补偿代偿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1.财政拨款用于国家奖助学金发放、征兵学费补偿代偿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≥3565人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发放补助合规率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发放补助合规率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奖学金发放完成时间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奖学金发放完成时间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2025年12.31前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717.23万元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经济困难学生失学率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经济困难学生失学率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项目持续性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项目持续性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持续补助学生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289"/>
      <w:r>
        <w:rPr>
          <w:rFonts w:ascii="方正仿宋_GBK" w:hAnsi="方正仿宋_GBK" w:eastAsia="方正仿宋_GBK" w:cs="方正仿宋_GBK"/>
          <w:sz w:val="28"/>
        </w:rPr>
        <w:t>285.学生资助政策体系绩效目标表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697.65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697.65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财政拨款用于国家奖助学金发放、征兵学费补偿代偿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1.财政拨款用于国家奖助学金发放、征兵学费补偿代偿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≥3565人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发放补助合规率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发放补助合规率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奖学金发放完成时间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奖学金发放完成时间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2025年12.31前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697.65万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经济困难学生失学率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经济困难学生失学率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项目持续性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项目持续性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持续补助学生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290"/>
      <w:r>
        <w:rPr>
          <w:rFonts w:ascii="方正仿宋_GBK" w:hAnsi="方正仿宋_GBK" w:eastAsia="方正仿宋_GBK" w:cs="方正仿宋_GBK"/>
          <w:sz w:val="28"/>
        </w:rPr>
        <w:t>286.学校思想政治工作补助项目绩效目标表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330211天津市职业大学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学校思想政治工作补助项目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37.50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37.50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学生思政工作经费使用经费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>
            <w:pPr>
              <w:pStyle w:val="12"/>
            </w:pPr>
            <w:r>
              <w:t>1.推进网络思政工作室培育项目建设，围绕职业教育、工匠精神、网络育人等主题制作思政短视频原创作品，以灵活有效、润物无声的方式宣传马克思主义立场观点方法和党的创新理论成果。</w:t>
            </w:r>
          </w:p>
          <w:p>
            <w:pPr>
              <w:pStyle w:val="12"/>
            </w:pPr>
            <w:r>
              <w:t>2. 面向天津市高职院校开展“五个一”活动；配合做好市级大学生创新创业拔尖项目的选拔培育，集中各方面资源全力做好拔尖项目培育工作；邀请资深专家担任天津市高校创新创业导师，举办至少1次双创导师与大学生团队结对互选活动。</w:t>
            </w:r>
          </w:p>
          <w:p>
            <w:pPr>
              <w:pStyle w:val="12"/>
            </w:pPr>
            <w:r>
              <w:t>3.“我和我的祖国”主题教育融入大中小学生日常思政教育活动中，通过电视台播出、“三微一端”多媒体平台等媒介，持续性推进“我和我的祖国”主题教育效果，达到全过程育人，活动效果覆盖全体大中小学生，持续推进使教育效果落地生根。岗前培训班帮助新入职辅导员尽快了解工作内容，适应工作角色，提升工作能力。高级研修班采取课堂讲授与交流学访相结合的模式，进一步总结经验、加强研究、提高水平，推动我市高职院校辅导员队伍专业化职业化建设。</w:t>
            </w:r>
          </w:p>
          <w:p>
            <w:pPr>
              <w:pStyle w:val="12"/>
            </w:pPr>
            <w:r>
              <w:t>4.  通过持续建设全国党建“双创”和天津市党建“领航工程”创建培育单位，提供思政项目补助，重点开展党员教育培训事宜，不断增强支部教师党性，推进学校各项事业高质量发展。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“五个一”活动覆盖人数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“五个一”活动覆盖人数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刊发思政教育抖音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刊发思政教育抖音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参加培训人数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参加培训人数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开展党员教育培训次数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开展党员教育培训次数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覆盖全市高校数量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覆盖全市高校数量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≥55所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培育项目获市级以上奖项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培育项目获市级以上奖项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资金执行率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资金执行率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思政工作建设完成时间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思政工作建设完成时间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思政工作建设资金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思政工作建设资金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37.5万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强化基层党建工作质量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强化基层党建工作质量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提升党员党性修养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主题教育活动在电视台播放次数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主题教育活动在电视台播放次数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学生思政教育持续性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学生思政教育持续性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学生持续得到思政教育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师生对思政工作满意度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师生对思政工作满意度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bookmarkStart w:id="13" w:name="_GoBack"/>
      <w:bookmarkEnd w:id="13"/>
    </w:p>
    <w:sectPr>
      <w:pgSz w:w="16840" w:h="11900" w:orient="landscape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197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196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03F7"/>
    <w:rsid w:val="0003708B"/>
    <w:rsid w:val="0018675B"/>
    <w:rsid w:val="001A4362"/>
    <w:rsid w:val="001B6198"/>
    <w:rsid w:val="002503F7"/>
    <w:rsid w:val="006807BC"/>
    <w:rsid w:val="007A11F0"/>
    <w:rsid w:val="35CA1931"/>
    <w:rsid w:val="6FAD850C"/>
    <w:rsid w:val="BE544A5A"/>
    <w:rsid w:val="FBBDA1F1"/>
    <w:rsid w:val="FBCF35C0"/>
    <w:rsid w:val="FF5FC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120576</Words>
  <Characters>687288</Characters>
  <Lines>5727</Lines>
  <Paragraphs>1612</Paragraphs>
  <TotalTime>34</TotalTime>
  <ScaleCrop>false</ScaleCrop>
  <LinksUpToDate>false</LinksUpToDate>
  <CharactersWithSpaces>806252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2025-01-17T07:06:00Z</dcterms:created>
  <dc:creator>greatwall-06</dc:creator>
  <cp:lastModifiedBy>财务处</cp:lastModifiedBy>
  <dcterms:modified xsi:type="dcterms:W3CDTF">2025-02-07T17:40:15Z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915BF253506F8E96A8CDA567E7D07276</vt:lpwstr>
  </property>
</Properties>
</file>