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autoSpaceDE w:val="0"/>
        <w:autoSpaceDN w:val="0"/>
        <w:adjustRightInd w:val="0"/>
        <w:spacing w:line="54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天津市高校专职辅导员队伍配比情况统计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057"/>
        <w:gridCol w:w="995"/>
        <w:gridCol w:w="739"/>
        <w:gridCol w:w="868"/>
        <w:gridCol w:w="1049"/>
        <w:gridCol w:w="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学生数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专职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辅导员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专职辅导员师生比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合格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辅导员缺口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天津广播影视职业学院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709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天津体育职业学院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943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1:135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天津艺术职业学院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1814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1:140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天津轻工职业技术学院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9020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1:167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天津石油职业技术学院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5373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32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1:168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天津电子信息职业技术学院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10549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62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1:171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天津公安警官职业学院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3332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1:176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天津工业职业学院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4450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1:178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天津医学高等专科学校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7663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1:179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天津国土资源和房屋职业学院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7006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39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天津滨海职业学院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7281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40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天津体育学院运动与文化艺术学院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6199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天津工艺美术职业学院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1098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天津美术学院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4801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天津科技大学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25039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天津理工大学中环信息学院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7709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天津城市职业学院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6603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35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1:189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天津职业技术师范大学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17746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93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1:191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天津体育学院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5942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天津交通职业学院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9795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51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1:193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21  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天津医科大学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9297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48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1:194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天津渤海职业技术学院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10915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56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天津城市建设管理职业技术学院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6058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天津职业大学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15363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78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天津农学院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12658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北京科技大学天津学院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10313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52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天津商业大学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22087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28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天津财经大学珠江学院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10747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1:199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天津音乐学院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3199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1:200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34132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170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1:201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滨海汽车工程职业学院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1414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1:202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天津医科大学临床医学院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7486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37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1:203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天津中医药大学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13826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68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1:204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天津理工大学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25461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123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1:207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天津外国语大学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10969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52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1:211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天津天狮学院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8248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39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1:211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天津商业大学宝德学院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8051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1:212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天津商务职业学院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8745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1:213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天津工业大学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26063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1:215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中国民航大学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27473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125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1:220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天津大学仁爱学院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12710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58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1:220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42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天津现代职业技术学院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9601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1:224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天津师范大学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29168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127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1:230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天津海运职业学院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8886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1:234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天津师范大学津沽学院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1:237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46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天津财经大学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15439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65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1:238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南开大学滨海学院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10667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45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1:238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48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南开大学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27581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114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1:242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天津中德应用技术大学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11347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47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1:242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天津城建大学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17255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1:243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天津外国语大学滨海外事学院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5897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1:246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天津生物工程职业技术学院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4686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1:247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天津铁道职业技术学院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8390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32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1:263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天津机电职业技术学院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9196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1:271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天津工程职业技术学院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4477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1:320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天津市大学软件学院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2085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合计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595563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2875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1:208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211</w:t>
            </w:r>
          </w:p>
        </w:tc>
      </w:tr>
    </w:tbl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高校专职思政课教师队伍配比情况统计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058"/>
        <w:gridCol w:w="995"/>
        <w:gridCol w:w="739"/>
        <w:gridCol w:w="995"/>
        <w:gridCol w:w="739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学生数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专职思政课教师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专职思政课教师师生比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合格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思政课教师缺口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天津体育职业学院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943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1:236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天津工艺美术职业学院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1098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1:275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滨海汽车工程职业学院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1414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1:283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天津公安警官职业学院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3332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1:303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天津石油职业技术学院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5373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1:316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天津电子信息职业技术学院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10549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1:330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天津城市建设管理职业技术学院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6058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1:337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天津工业职业学院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4450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1:342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天津师范大学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29168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1:347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天津城市职业学院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6603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1:348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天津医学高等专科学校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7663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1:349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天津体育学院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5942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1:350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天津广播影视职业学院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709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1:355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天津职业大学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15363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1:358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天津科技大学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25039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天津艺术职业学院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1814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天津商业大学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22087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1:368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天津中医药大学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13826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37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1:374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天津农学院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12658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33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1:384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天津医科大学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9297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1:388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天津工业大学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26063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1:389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南开大学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27581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1:400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天津城建大学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17255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1:402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天津理工大学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25461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1:405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天津职业技术师范大学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17746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1:413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天津外国语大学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10969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1:422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天津财经大学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15439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1:429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28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天津美术学院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4801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1:437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天津音乐学院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3199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1:457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天津交通职业学院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9795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1:467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天津体育学院运动与文化艺术学院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6199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1:517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天津生物工程职业技术学院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4686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1:521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天津外国语大学滨海外事学院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5897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1:536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天津铁道职业技术学院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8390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1:560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34132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1:569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天津现代职业技术学院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9601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北京科技大学天津学院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10313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1:607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天津机电职业技术学院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9196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1:613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天津中德应用技术大学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11347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1:631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天津天狮学院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8248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1:634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天津海运职业学院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8886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1:635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42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天津工程职业技术学院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4477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1:640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天津渤海职业技术学院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10915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1:642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天津国土资源和房屋职业学院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7006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1:707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45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天津商业大学宝德学院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8051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1:805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46</w:t>
            </w:r>
          </w:p>
        </w:tc>
        <w:tc>
          <w:tcPr>
            <w:tcW w:w="2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天津轻工职业技术学院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9020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1:904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47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天津滨海职业学院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7281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1:910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48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天津商务职业学院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8745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1:971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49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中国民航大学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27473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1:1057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50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天津理工大学中环信息学院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7709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1:1102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51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天津财经大学珠江学院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10747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1:1195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52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南开大学滨海学院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10667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1:1334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53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天津大学仁爱学院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12710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1:1413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54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天津医科大学临床医学院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7486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1:2496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55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天津师范大学津沽学院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2601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1:2601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56</w:t>
            </w:r>
          </w:p>
        </w:tc>
        <w:tc>
          <w:tcPr>
            <w:tcW w:w="2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天津市大学软件学院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2085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合计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595563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1239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1：481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495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2098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各高校思想政治工作专职人员配备统计负责人信息表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学校名称（盖章）：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3954"/>
        <w:gridCol w:w="3123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97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部门及职务</w:t>
            </w:r>
          </w:p>
        </w:tc>
        <w:tc>
          <w:tcPr>
            <w:tcW w:w="31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7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9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  <w:sz w:val="28"/>
          <w:szCs w:val="28"/>
        </w:rPr>
        <w:sectPr>
          <w:footerReference r:id="rId7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1723390</wp:posOffset>
                </wp:positionV>
                <wp:extent cx="421640" cy="1054100"/>
                <wp:effectExtent l="0" t="0" r="16510" b="127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right="280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  <w:lang w:val="zh-CN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 xml:space="preserve"> 13 -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eaVer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5.45pt;margin-top:135.7pt;height:83pt;width:33.2pt;mso-wrap-distance-bottom:3.6pt;mso-wrap-distance-left:9pt;mso-wrap-distance-right:9pt;mso-wrap-distance-top:3.6pt;z-index:251658240;mso-width-relative:margin;mso-height-relative:margin;mso-height-percent:200;" fillcolor="#FFFFFF" filled="t" stroked="f" coordsize="21600,21600" o:gfxdata="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SJ0E/YAAAACgEAAA8AAAAAAAAAAQAgAAAAIgAAAGRycy9kb3ducmV2LnhtbFBLAQIU&#10;ABQAAAAIAIdO4kB3Zx6FugEAAFEDAAAOAAAAAAAAAAEAIAAAACcBAABkcnMvZTJvRG9jLnhtbFBL&#10;BQYAAAAABgAGAFkBAABTBQAAAAA=&#10;">
                <v:path/>
                <v:fill on="t" focussize="0,0"/>
                <v:stroke on="f"/>
                <v:imagedata o:title=""/>
                <o:lock v:ext="edit" grouping="f" rotation="f" text="f" aspectratio="f"/>
                <v:textbox style="layout-flow:vertical-ideographic;mso-fit-shape-to-text:t;">
                  <w:txbxContent>
                    <w:p>
                      <w:pPr>
                        <w:pStyle w:val="2"/>
                        <w:ind w:right="280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instrText xml:space="preserve">PAGE   \* MERGEFORMAT</w:instrTex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sz w:val="28"/>
                          <w:szCs w:val="28"/>
                          <w:lang w:val="zh-CN"/>
                        </w:rPr>
                        <w:t>-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 xml:space="preserve"> 13 -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各高校思想政治工作人员补充进展情况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学校名称（盖章）：           党委负责同志签字：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542"/>
        <w:gridCol w:w="186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学生人数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专职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思政课教师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专职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上次统计情况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15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师生比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本次统计变动情况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（增加标识为数字，如“2”；减少标识为“-数字”，如“-2”）</w:t>
            </w:r>
          </w:p>
        </w:tc>
        <w:tc>
          <w:tcPr>
            <w:tcW w:w="15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当前情况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师生比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报送工作联系人：               联系电话：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注：</w:t>
      </w:r>
    </w:p>
    <w:p>
      <w:pPr>
        <w:numPr>
          <w:ilvl w:val="0"/>
          <w:numId w:val="1"/>
        </w:numPr>
        <w:spacing w:line="56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请各学校按照统计时间报送。</w:t>
      </w:r>
    </w:p>
    <w:p>
      <w:pPr>
        <w:numPr>
          <w:ilvl w:val="0"/>
          <w:numId w:val="1"/>
        </w:numPr>
        <w:spacing w:line="56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请严格按照通知中统计口径填报数据。</w:t>
      </w:r>
    </w:p>
    <w:p>
      <w:pPr>
        <w:spacing w:line="560" w:lineRule="exact"/>
        <w:rPr>
          <w:rFonts w:hint="eastAsia" w:ascii="楷体_GB2312" w:hAnsi="楷体_GB2312" w:eastAsia="楷体_GB2312" w:cs="楷体_GB2312"/>
          <w:sz w:val="24"/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1440" w:right="1800" w:bottom="1440" w:left="1800" w:header="851" w:footer="992" w:gutter="0"/>
          <w:pgNumType w:fmt="numberInDash" w:start="14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8"/>
          <w:szCs w:val="28"/>
        </w:rPr>
        <w:t>3.请将表格电子版和签字盖章扫描的pdf版通过办公平台报送至教委学生处，邮件题目请注明“高校名称-专职思政队伍统计”。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各高校隶属单位情况列表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67"/>
        <w:gridCol w:w="5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隶属单位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南开大学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天津师范大学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天津医科大学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天津科技大学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天津工业大学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天津商业大学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天津职业技术师范大学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天津财经大学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天津理工大学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中国民航大学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中国民航局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天津中医药大学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天津外国语大学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天津音乐学院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天津体育学院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天津美术学院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天津城建大学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天津农学院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天津市大学软件学院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天津职业大学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天津中德应用技术大学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天津商务职业学院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天津公安警官职业学院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天津医学高等专科学校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天津海运职业学院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天津电子信息职业技术学院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天津市中环电子信息集团有限公司（市国资委）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天津城市建设管理职业技术学院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天津能源投资集团有限公司（市国资委）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天津滨海职业学院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天津滨海新区教育体育局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天津工程职业技术学院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中国石油天然气股份有限公司大港油田公司（驻津单位）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天津渤海职业技术学院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天津市渤海轻工投资集团有限公司（市国资委）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天津机电职业技术学院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天津市百利机械装备集团有限公司（市国资委）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天津现代职业技术学院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天津市渤海轻工投资集团有限公司（市国资委）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天津轻工职业技术学院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天津市渤海轻工投资集团有限公司（市国资委）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天津国土资源和房屋职业学院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天津市住房和城乡建设委员会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天津艺术职业学院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天津交通职业学院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天津市交通(集团)有限公司（市国资委）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天津冶金职业技术学院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天津市冶金集团（控股）有限公司（市国资委）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天津石油职业技术学院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中国石油天然气股份有限公司华北油田分公司（驻津单位）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天津城市职业学院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河北区教育局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天津铁道职业技术学院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天津工艺美术职业学院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天津生物工程职业技术学院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天津市医药集团有限公司（市国资委）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天津广播影视职业学院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天津海河传媒中心（市委宣传部）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天津体育职业学院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天津市体育局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南开大学滨海学院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南开大学 天津市滨海新区人民政府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天津大学仁爱学院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天津大学  天津仁爱集团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天津师范大学津沽学院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天津医科大学临床医学院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天津医科大学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天津商业大学宝德学院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天津商业大学 天津摩根教育管理咨询有限公司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天津财经大学珠江学院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天津财经大学 广东珠江投资股份有限公司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天津理工大学中环信息学院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天津理工大学 天津中环电子信息集团有限公司（市国资委）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天津外国语大学滨海外事学院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天津外国语大学 天津外国语大学教育投资有限公司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天津体育学院运动与文化艺术学院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天津体育学院 北京歌德永乐文化发展有限公司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北京科技大学天津学院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北京科技大学 广东珠江投资有限公司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天津天狮学院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天津天狮集团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3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天津滨海汽车职业学院</w:t>
            </w:r>
          </w:p>
        </w:tc>
        <w:tc>
          <w:tcPr>
            <w:tcW w:w="51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天津博雅汽车零部件有限公司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ED664-7732-4A81-A82D-EB9188266C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3FD9FC6-D668-4023-B3D9-6E3DE54D82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944E6E-5A3A-4C0A-9839-200827A8C5C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401C38F-8BF4-4502-AA72-C8F61EDF00E0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DCD1F46E-260A-454B-93FB-5D7C2B27F4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6A491"/>
    <w:multiLevelType w:val="singleLevel"/>
    <w:tmpl w:val="4D46A4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18B2"/>
    <w:rsid w:val="128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2020-05-14T02:01:00Z</dcterms:created>
  <dc:creator>婧儿</dc:creator>
  <cp:lastModifiedBy>婧儿</cp:lastModifiedBy>
  <dcterms:modified xsi:type="dcterms:W3CDTF">2020-05-14T02:01:41Z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